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will be registered on the portal and shall constitute valid 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D106E0" w:rsidRPr="003C3DFF"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lastRenderedPageBreak/>
        <w:t>Auction II :</w:t>
      </w:r>
    </w:p>
    <w:p w:rsidR="00692714" w:rsidRPr="003C3DFF" w:rsidRDefault="00692714" w:rsidP="00702147">
      <w:pPr>
        <w:pStyle w:val="PlainText"/>
        <w:numPr>
          <w:ilvl w:val="3"/>
          <w:numId w:val="4"/>
        </w:numPr>
        <w:ind w:right="43"/>
        <w:jc w:val="both"/>
        <w:rPr>
          <w:rFonts w:ascii="Arial" w:hAnsi="Arial" w:cs="Arial"/>
          <w:u w:val="single"/>
        </w:rPr>
      </w:pPr>
      <w:proofErr w:type="spellStart"/>
      <w:r w:rsidRPr="003C3DFF">
        <w:rPr>
          <w:rFonts w:ascii="Times New Roman" w:hAnsi="Times New Roman"/>
          <w:lang w:val="en-US"/>
        </w:rPr>
        <w:t>Aluminium</w:t>
      </w:r>
      <w:proofErr w:type="spellEnd"/>
      <w:r w:rsidRPr="003C3DFF">
        <w:rPr>
          <w:rFonts w:ascii="Times New Roman" w:hAnsi="Times New Roman"/>
          <w:lang w:val="en-US"/>
        </w:rPr>
        <w:t xml:space="preserve">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 xml:space="preserve">Iron &amp; Steel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Hazardous</w:t>
      </w:r>
      <w:r w:rsidR="001C3618" w:rsidRPr="003C3DFF">
        <w:rPr>
          <w:rFonts w:ascii="Times New Roman" w:hAnsi="Times New Roman"/>
          <w:lang w:val="en-US"/>
        </w:rPr>
        <w:t xml:space="preserve"> </w:t>
      </w:r>
      <w:r w:rsidRPr="003C3DFF">
        <w:rPr>
          <w:rFonts w:ascii="Times New Roman" w:hAnsi="Times New Roman"/>
          <w:lang w:val="en-US"/>
        </w:rPr>
        <w:t>/</w:t>
      </w:r>
      <w:r w:rsidR="001C3618" w:rsidRPr="003C3DFF">
        <w:rPr>
          <w:rFonts w:ascii="Times New Roman" w:hAnsi="Times New Roman"/>
          <w:lang w:val="en-US"/>
        </w:rPr>
        <w:t xml:space="preserve"> </w:t>
      </w:r>
      <w:r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B80BC7" w:rsidRPr="003C3DFF" w:rsidRDefault="00B80BC7" w:rsidP="00702147">
      <w:pPr>
        <w:pStyle w:val="PlainText"/>
        <w:numPr>
          <w:ilvl w:val="2"/>
          <w:numId w:val="4"/>
        </w:numPr>
        <w:ind w:right="43"/>
        <w:jc w:val="both"/>
        <w:rPr>
          <w:rFonts w:ascii="Arial" w:hAnsi="Arial" w:cs="Arial"/>
        </w:rPr>
      </w:pPr>
      <w:r w:rsidRPr="003C3DFF">
        <w:rPr>
          <w:rFonts w:ascii="Times New Roman" w:hAnsi="Times New Roman"/>
          <w:lang w:val="en-US"/>
        </w:rPr>
        <w:t>EMD can also be deposited as per Security Deposit indicated against each lot separately.</w:t>
      </w:r>
      <w:r w:rsidR="001C7671" w:rsidRPr="003C3DFF">
        <w:rPr>
          <w:rFonts w:ascii="Times New Roman" w:hAnsi="Times New Roman"/>
          <w:lang w:val="en-US"/>
        </w:rPr>
        <w:t xml:space="preserve"> </w:t>
      </w:r>
      <w:r w:rsidR="000858EB" w:rsidRPr="003C3DFF">
        <w:rPr>
          <w:rFonts w:ascii="Times New Roman" w:hAnsi="Times New Roman"/>
          <w:lang w:val="en-US"/>
        </w:rPr>
        <w:t xml:space="preserve">      </w:t>
      </w:r>
    </w:p>
    <w:p w:rsidR="006951D8" w:rsidRPr="003C3DFF" w:rsidRDefault="006951D8" w:rsidP="00702147">
      <w:pPr>
        <w:pStyle w:val="PlainText"/>
        <w:numPr>
          <w:ilvl w:val="2"/>
          <w:numId w:val="4"/>
        </w:numPr>
        <w:spacing w:after="120"/>
        <w:ind w:left="1901" w:right="43" w:hanging="187"/>
        <w:jc w:val="both"/>
        <w:rPr>
          <w:rFonts w:ascii="Arial" w:hAnsi="Arial" w:cs="Arial"/>
          <w:color w:val="FF0000"/>
        </w:rPr>
      </w:pPr>
      <w:r w:rsidRPr="003C3DFF">
        <w:rPr>
          <w:rFonts w:ascii="Times New Roman" w:hAnsi="Times New Roman"/>
          <w:lang w:val="en-US"/>
        </w:rPr>
        <w:t>For Bundled Aluminum Chips at Gurgaon (CH05-N), full amount of EMD needs to be submitted before being allowed to participate in e-Auction.</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Hazardous 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Pr="003C3DFF">
        <w:rPr>
          <w:rFonts w:ascii="Times New Roman" w:eastAsia="SimSun" w:hAnsi="Times New Roman"/>
          <w:color w:val="000000"/>
        </w:rPr>
        <w:t xml:space="preserve"> Registration Certificates only are authorized to participate in tender for </w:t>
      </w:r>
      <w:r w:rsidR="00B80BC7" w:rsidRPr="003C3DFF">
        <w:rPr>
          <w:rFonts w:ascii="Times New Roman" w:eastAsia="SimSun" w:hAnsi="Times New Roman"/>
          <w:b/>
          <w:lang w:val="en-US"/>
        </w:rPr>
        <w:t>Hazardous</w:t>
      </w:r>
      <w:r w:rsidR="00B80BC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3C3DFF"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lastRenderedPageBreak/>
        <w:t xml:space="preserve">The bidders undertake to be in compliance of all applicable environment laws including but limited to Hazardous and Other Wastes (Management and </w:t>
      </w:r>
      <w:r w:rsidR="00947A1D" w:rsidRPr="003C3DFF">
        <w:rPr>
          <w:rFonts w:ascii="Times New Roman" w:hAnsi="Times New Roman"/>
          <w:bCs/>
          <w:lang w:val="en-US"/>
        </w:rPr>
        <w:t>Trans boundary</w:t>
      </w:r>
      <w:r w:rsidRPr="003C3DFF">
        <w:rPr>
          <w:rFonts w:ascii="Times New Roman" w:hAnsi="Times New Roman"/>
          <w:bCs/>
          <w:lang w:val="en-US"/>
        </w:rPr>
        <w:t xml:space="preserve"> Movement) Rules, 2016 as amended from time to time.</w:t>
      </w:r>
      <w:r w:rsidR="00BF4D40" w:rsidRPr="003C3DFF">
        <w:rPr>
          <w:rFonts w:ascii="Times New Roman" w:hAnsi="Times New Roman"/>
          <w:bCs/>
          <w:lang w:val="en-US"/>
        </w:rPr>
        <w:t xml:space="preserve"> </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w:t>
      </w:r>
      <w:bookmarkStart w:id="0" w:name="_GoBack"/>
      <w:bookmarkEnd w:id="0"/>
      <w:r w:rsidRPr="003C3DFF">
        <w:rPr>
          <w:rFonts w:cs="Times New Roman"/>
          <w:b w:val="0"/>
          <w:bCs w:val="0"/>
          <w:sz w:val="20"/>
          <w:szCs w:val="20"/>
          <w:lang w:bidi="ar-SA"/>
        </w:rPr>
        <w:t xml:space="preserve">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Pr="003C3DFF"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8" w:rsidRDefault="00C50528" w:rsidP="00E3064C">
      <w:pPr>
        <w:spacing w:after="0" w:line="240" w:lineRule="auto"/>
      </w:pPr>
      <w:r>
        <w:separator/>
      </w:r>
    </w:p>
  </w:endnote>
  <w:endnote w:type="continuationSeparator" w:id="0">
    <w:p w:rsidR="00C50528" w:rsidRDefault="00C50528"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D02BF" w:rsidRPr="001D02B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8" w:rsidRDefault="00C50528" w:rsidP="00E3064C">
      <w:pPr>
        <w:spacing w:after="0" w:line="240" w:lineRule="auto"/>
      </w:pPr>
      <w:r>
        <w:separator/>
      </w:r>
    </w:p>
  </w:footnote>
  <w:footnote w:type="continuationSeparator" w:id="0">
    <w:p w:rsidR="00C50528" w:rsidRDefault="00C50528"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58EB"/>
    <w:rsid w:val="00090954"/>
    <w:rsid w:val="000C12D8"/>
    <w:rsid w:val="000D455D"/>
    <w:rsid w:val="000D681E"/>
    <w:rsid w:val="000D7169"/>
    <w:rsid w:val="000E6EE1"/>
    <w:rsid w:val="001269FE"/>
    <w:rsid w:val="00171388"/>
    <w:rsid w:val="001762F8"/>
    <w:rsid w:val="001959C3"/>
    <w:rsid w:val="00197A9D"/>
    <w:rsid w:val="001A0993"/>
    <w:rsid w:val="001B721B"/>
    <w:rsid w:val="001B7523"/>
    <w:rsid w:val="001C3618"/>
    <w:rsid w:val="001C7671"/>
    <w:rsid w:val="001D02BF"/>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B330C"/>
    <w:rsid w:val="002C6A16"/>
    <w:rsid w:val="002D0C33"/>
    <w:rsid w:val="002D12AC"/>
    <w:rsid w:val="002E7048"/>
    <w:rsid w:val="00307855"/>
    <w:rsid w:val="0031534B"/>
    <w:rsid w:val="0035446E"/>
    <w:rsid w:val="0037004A"/>
    <w:rsid w:val="00386569"/>
    <w:rsid w:val="003C1F35"/>
    <w:rsid w:val="003C3BFF"/>
    <w:rsid w:val="003C3DFF"/>
    <w:rsid w:val="003C593E"/>
    <w:rsid w:val="00440838"/>
    <w:rsid w:val="00452DEB"/>
    <w:rsid w:val="00471E2A"/>
    <w:rsid w:val="00477666"/>
    <w:rsid w:val="0048392F"/>
    <w:rsid w:val="00492F95"/>
    <w:rsid w:val="0049620E"/>
    <w:rsid w:val="004B56D9"/>
    <w:rsid w:val="004C4B20"/>
    <w:rsid w:val="004C6737"/>
    <w:rsid w:val="00503EAA"/>
    <w:rsid w:val="005063A6"/>
    <w:rsid w:val="00510E4C"/>
    <w:rsid w:val="00557795"/>
    <w:rsid w:val="00563C4B"/>
    <w:rsid w:val="005768BD"/>
    <w:rsid w:val="00594E05"/>
    <w:rsid w:val="005A1E46"/>
    <w:rsid w:val="005B21F0"/>
    <w:rsid w:val="005B4329"/>
    <w:rsid w:val="005C37AA"/>
    <w:rsid w:val="005E117E"/>
    <w:rsid w:val="005E191C"/>
    <w:rsid w:val="005E61AB"/>
    <w:rsid w:val="005E7E7B"/>
    <w:rsid w:val="005F3DE2"/>
    <w:rsid w:val="00605D6A"/>
    <w:rsid w:val="0060779F"/>
    <w:rsid w:val="0063690B"/>
    <w:rsid w:val="00651BD0"/>
    <w:rsid w:val="006571BB"/>
    <w:rsid w:val="00657C84"/>
    <w:rsid w:val="00662D8C"/>
    <w:rsid w:val="00665B09"/>
    <w:rsid w:val="00675195"/>
    <w:rsid w:val="0067582F"/>
    <w:rsid w:val="00685AC4"/>
    <w:rsid w:val="00692714"/>
    <w:rsid w:val="006951D8"/>
    <w:rsid w:val="00696CAC"/>
    <w:rsid w:val="00697A0B"/>
    <w:rsid w:val="006A146E"/>
    <w:rsid w:val="006A6453"/>
    <w:rsid w:val="006C32BE"/>
    <w:rsid w:val="006C4670"/>
    <w:rsid w:val="006C68C3"/>
    <w:rsid w:val="006C7A3F"/>
    <w:rsid w:val="006F4803"/>
    <w:rsid w:val="00702147"/>
    <w:rsid w:val="00713DEB"/>
    <w:rsid w:val="00724115"/>
    <w:rsid w:val="00724D7A"/>
    <w:rsid w:val="00727883"/>
    <w:rsid w:val="00735B08"/>
    <w:rsid w:val="00741914"/>
    <w:rsid w:val="00741BF4"/>
    <w:rsid w:val="007468DF"/>
    <w:rsid w:val="007774AF"/>
    <w:rsid w:val="00791A6F"/>
    <w:rsid w:val="007933EA"/>
    <w:rsid w:val="007A4ED1"/>
    <w:rsid w:val="007A77C2"/>
    <w:rsid w:val="007E2326"/>
    <w:rsid w:val="008056CA"/>
    <w:rsid w:val="008213D1"/>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5774"/>
    <w:rsid w:val="00A141D2"/>
    <w:rsid w:val="00A3452E"/>
    <w:rsid w:val="00A51095"/>
    <w:rsid w:val="00A51F8E"/>
    <w:rsid w:val="00A6534F"/>
    <w:rsid w:val="00AB7E06"/>
    <w:rsid w:val="00AD23CF"/>
    <w:rsid w:val="00AF2C23"/>
    <w:rsid w:val="00B01943"/>
    <w:rsid w:val="00B13E70"/>
    <w:rsid w:val="00B21C70"/>
    <w:rsid w:val="00B24C16"/>
    <w:rsid w:val="00B33E59"/>
    <w:rsid w:val="00B3424A"/>
    <w:rsid w:val="00B62304"/>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415C"/>
    <w:rsid w:val="00C74DE2"/>
    <w:rsid w:val="00C75A60"/>
    <w:rsid w:val="00C87BE0"/>
    <w:rsid w:val="00CB74CE"/>
    <w:rsid w:val="00CC3B58"/>
    <w:rsid w:val="00CC63F6"/>
    <w:rsid w:val="00CC6E5C"/>
    <w:rsid w:val="00CE6B47"/>
    <w:rsid w:val="00CF109F"/>
    <w:rsid w:val="00CF1AAB"/>
    <w:rsid w:val="00D106E0"/>
    <w:rsid w:val="00D22D41"/>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32EF5"/>
    <w:rsid w:val="00F33EFB"/>
    <w:rsid w:val="00F51BF7"/>
    <w:rsid w:val="00F667AB"/>
    <w:rsid w:val="00F7371A"/>
    <w:rsid w:val="00F763D5"/>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4</cp:revision>
  <cp:lastPrinted>2019-07-30T06:17:00Z</cp:lastPrinted>
  <dcterms:created xsi:type="dcterms:W3CDTF">2019-07-02T06:54:00Z</dcterms:created>
  <dcterms:modified xsi:type="dcterms:W3CDTF">2019-07-30T06:17:00Z</dcterms:modified>
</cp:coreProperties>
</file>